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BA9" w:rsidRPr="00252EE1" w:rsidRDefault="00552BA9" w:rsidP="00552BA9">
      <w:pPr>
        <w:pStyle w:val="2"/>
        <w:keepNext w:val="0"/>
        <w:jc w:val="center"/>
        <w:rPr>
          <w:rFonts w:ascii="標楷體" w:eastAsia="標楷體" w:hAnsi="標楷體"/>
          <w:sz w:val="32"/>
          <w:szCs w:val="32"/>
        </w:rPr>
      </w:pPr>
      <w:r w:rsidRPr="00252EE1">
        <w:rPr>
          <w:rFonts w:ascii="標楷體" w:eastAsia="標楷體" w:hAnsi="標楷體" w:hint="eastAsia"/>
          <w:sz w:val="32"/>
          <w:szCs w:val="32"/>
        </w:rPr>
        <w:t>單</w:t>
      </w:r>
      <w:bookmarkStart w:id="0" w:name="_GoBack"/>
      <w:bookmarkEnd w:id="0"/>
      <w:r w:rsidRPr="00252EE1">
        <w:rPr>
          <w:rFonts w:ascii="標楷體" w:eastAsia="標楷體" w:hAnsi="標楷體" w:hint="eastAsia"/>
          <w:sz w:val="32"/>
          <w:szCs w:val="32"/>
        </w:rPr>
        <w:t>科學分課程審查意見表</w:t>
      </w:r>
    </w:p>
    <w:tbl>
      <w:tblPr>
        <w:tblW w:w="9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7"/>
        <w:gridCol w:w="5396"/>
        <w:gridCol w:w="1915"/>
      </w:tblGrid>
      <w:tr w:rsidR="00552BA9" w:rsidRPr="00252EE1" w:rsidTr="002C5534">
        <w:trPr>
          <w:trHeight w:val="143"/>
          <w:jc w:val="center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BA9" w:rsidRPr="00252EE1" w:rsidRDefault="00552BA9" w:rsidP="002C5534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52EE1">
              <w:rPr>
                <w:rFonts w:ascii="標楷體" w:eastAsia="標楷體" w:hAnsi="標楷體" w:hint="eastAsia"/>
                <w:b/>
                <w:sz w:val="26"/>
                <w:szCs w:val="26"/>
              </w:rPr>
              <w:t>課 程 名 稱</w:t>
            </w:r>
          </w:p>
        </w:tc>
        <w:tc>
          <w:tcPr>
            <w:tcW w:w="7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BA9" w:rsidRPr="00252EE1" w:rsidRDefault="00552BA9" w:rsidP="002C5534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552BA9" w:rsidRPr="00252EE1" w:rsidTr="002C5534">
        <w:trPr>
          <w:trHeight w:val="143"/>
          <w:jc w:val="center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BA9" w:rsidRPr="00252EE1" w:rsidRDefault="00552BA9" w:rsidP="002C5534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52EE1">
              <w:rPr>
                <w:rFonts w:ascii="標楷體" w:eastAsia="標楷體" w:hAnsi="標楷體" w:hint="eastAsia"/>
                <w:b/>
                <w:sz w:val="26"/>
                <w:szCs w:val="26"/>
              </w:rPr>
              <w:t>評分項目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BA9" w:rsidRPr="00252EE1" w:rsidRDefault="00552BA9" w:rsidP="002C5534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52EE1">
              <w:rPr>
                <w:rFonts w:ascii="標楷體" w:eastAsia="標楷體" w:hAnsi="標楷體" w:hint="eastAsia"/>
                <w:b/>
                <w:sz w:val="26"/>
                <w:szCs w:val="26"/>
              </w:rPr>
              <w:t>參考評分指標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BA9" w:rsidRPr="00252EE1" w:rsidRDefault="00552BA9" w:rsidP="002C5534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52EE1">
              <w:rPr>
                <w:rFonts w:ascii="標楷體" w:eastAsia="標楷體" w:hAnsi="標楷體" w:hint="eastAsia"/>
                <w:b/>
                <w:sz w:val="26"/>
                <w:szCs w:val="26"/>
              </w:rPr>
              <w:t>各子項目實得分數</w:t>
            </w:r>
          </w:p>
        </w:tc>
      </w:tr>
      <w:tr w:rsidR="00552BA9" w:rsidRPr="00252EE1" w:rsidTr="002C5534">
        <w:trPr>
          <w:trHeight w:val="359"/>
          <w:jc w:val="center"/>
        </w:trPr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BA9" w:rsidRPr="00252EE1" w:rsidRDefault="00552BA9" w:rsidP="002C5534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52EE1">
              <w:rPr>
                <w:rFonts w:ascii="標楷體" w:eastAsia="標楷體" w:hAnsi="標楷體" w:hint="eastAsia"/>
                <w:b/>
                <w:sz w:val="26"/>
                <w:szCs w:val="26"/>
              </w:rPr>
              <w:t>課程設計</w:t>
            </w:r>
          </w:p>
          <w:p w:rsidR="00552BA9" w:rsidRPr="00252EE1" w:rsidRDefault="00552BA9" w:rsidP="002C5534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52EE1">
              <w:rPr>
                <w:rFonts w:ascii="標楷體" w:eastAsia="標楷體" w:hAnsi="標楷體" w:hint="eastAsia"/>
                <w:b/>
                <w:sz w:val="26"/>
                <w:szCs w:val="26"/>
              </w:rPr>
              <w:t>(40%)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BA9" w:rsidRPr="00252EE1" w:rsidRDefault="00552BA9" w:rsidP="002C5534">
            <w:pPr>
              <w:numPr>
                <w:ilvl w:val="0"/>
                <w:numId w:val="1"/>
              </w:numPr>
              <w:rPr>
                <w:rFonts w:ascii="標楷體" w:eastAsia="標楷體" w:hAnsi="標楷體"/>
                <w:sz w:val="26"/>
                <w:szCs w:val="26"/>
              </w:rPr>
            </w:pPr>
            <w:r w:rsidRPr="00252EE1">
              <w:rPr>
                <w:rFonts w:ascii="標楷體" w:eastAsia="標楷體" w:hAnsi="標楷體" w:hint="eastAsia"/>
                <w:sz w:val="26"/>
                <w:szCs w:val="26"/>
              </w:rPr>
              <w:t>課程目標</w:t>
            </w:r>
            <w:proofErr w:type="gramStart"/>
            <w:r w:rsidRPr="00252EE1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proofErr w:type="gramEnd"/>
            <w:r w:rsidRPr="00252EE1">
              <w:rPr>
                <w:rFonts w:ascii="標楷體" w:eastAsia="標楷體" w:hAnsi="標楷體" w:hint="eastAsia"/>
                <w:sz w:val="20"/>
                <w:szCs w:val="20"/>
              </w:rPr>
              <w:t>補充參考：課程內容適合發展的方向</w:t>
            </w:r>
            <w:proofErr w:type="gramStart"/>
            <w:r w:rsidRPr="00252EE1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  <w:proofErr w:type="gram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BA9" w:rsidRPr="00252EE1" w:rsidRDefault="00552BA9" w:rsidP="002C5534">
            <w:pPr>
              <w:ind w:left="47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52EE1">
              <w:rPr>
                <w:rFonts w:ascii="標楷體" w:eastAsia="標楷體" w:hAnsi="標楷體" w:hint="eastAsia"/>
                <w:b/>
                <w:sz w:val="26"/>
                <w:szCs w:val="26"/>
              </w:rPr>
              <w:t>/ 10</w:t>
            </w:r>
          </w:p>
        </w:tc>
      </w:tr>
      <w:tr w:rsidR="00552BA9" w:rsidRPr="00252EE1" w:rsidTr="002C5534">
        <w:trPr>
          <w:trHeight w:val="35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BA9" w:rsidRPr="00252EE1" w:rsidRDefault="00552BA9" w:rsidP="002C5534">
            <w:pPr>
              <w:widowControl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BA9" w:rsidRPr="00252EE1" w:rsidRDefault="00552BA9" w:rsidP="002C5534">
            <w:pPr>
              <w:numPr>
                <w:ilvl w:val="0"/>
                <w:numId w:val="1"/>
              </w:numPr>
              <w:rPr>
                <w:rFonts w:ascii="標楷體" w:eastAsia="標楷體" w:hAnsi="標楷體"/>
                <w:sz w:val="26"/>
                <w:szCs w:val="26"/>
              </w:rPr>
            </w:pPr>
            <w:r w:rsidRPr="00252EE1">
              <w:rPr>
                <w:rFonts w:ascii="標楷體" w:eastAsia="標楷體" w:hAnsi="標楷體" w:hint="eastAsia"/>
                <w:sz w:val="26"/>
                <w:szCs w:val="26"/>
              </w:rPr>
              <w:t>課程大綱</w:t>
            </w:r>
          </w:p>
          <w:p w:rsidR="00552BA9" w:rsidRPr="00252EE1" w:rsidRDefault="00552BA9" w:rsidP="002C5534">
            <w:pPr>
              <w:ind w:left="527"/>
              <w:rPr>
                <w:rFonts w:ascii="標楷體" w:eastAsia="標楷體" w:hAnsi="標楷體"/>
                <w:sz w:val="26"/>
                <w:szCs w:val="26"/>
              </w:rPr>
            </w:pPr>
            <w:r w:rsidRPr="00252EE1">
              <w:rPr>
                <w:rFonts w:ascii="標楷體" w:eastAsia="標楷體" w:hAnsi="標楷體" w:hint="eastAsia"/>
                <w:sz w:val="26"/>
                <w:szCs w:val="26"/>
              </w:rPr>
              <w:t>教學內容、教學方法及評量方法合宜程度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BA9" w:rsidRPr="00252EE1" w:rsidRDefault="00552BA9" w:rsidP="002C5534">
            <w:pPr>
              <w:ind w:left="47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52EE1">
              <w:rPr>
                <w:rFonts w:ascii="標楷體" w:eastAsia="標楷體" w:hAnsi="標楷體" w:hint="eastAsia"/>
                <w:b/>
                <w:sz w:val="26"/>
                <w:szCs w:val="26"/>
              </w:rPr>
              <w:t>/ 10</w:t>
            </w:r>
          </w:p>
        </w:tc>
      </w:tr>
      <w:tr w:rsidR="00552BA9" w:rsidRPr="00252EE1" w:rsidTr="002C5534">
        <w:trPr>
          <w:trHeight w:val="35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BA9" w:rsidRPr="00252EE1" w:rsidRDefault="00552BA9" w:rsidP="002C5534">
            <w:pPr>
              <w:widowControl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BA9" w:rsidRPr="00252EE1" w:rsidRDefault="00552BA9" w:rsidP="002C5534">
            <w:pPr>
              <w:numPr>
                <w:ilvl w:val="0"/>
                <w:numId w:val="1"/>
              </w:numPr>
              <w:rPr>
                <w:rFonts w:ascii="標楷體" w:eastAsia="標楷體" w:hAnsi="標楷體"/>
                <w:sz w:val="26"/>
                <w:szCs w:val="26"/>
              </w:rPr>
            </w:pPr>
            <w:r w:rsidRPr="00252EE1">
              <w:rPr>
                <w:rFonts w:ascii="標楷體" w:eastAsia="標楷體" w:hAnsi="標楷體" w:hint="eastAsia"/>
                <w:sz w:val="26"/>
                <w:szCs w:val="26"/>
              </w:rPr>
              <w:t>開班名稱、課程名稱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BA9" w:rsidRPr="00252EE1" w:rsidRDefault="00552BA9" w:rsidP="002C5534">
            <w:pPr>
              <w:ind w:left="47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52EE1">
              <w:rPr>
                <w:rFonts w:ascii="標楷體" w:eastAsia="標楷體" w:hAnsi="標楷體" w:hint="eastAsia"/>
                <w:b/>
                <w:sz w:val="26"/>
                <w:szCs w:val="26"/>
              </w:rPr>
              <w:t>/ 10</w:t>
            </w:r>
          </w:p>
        </w:tc>
      </w:tr>
      <w:tr w:rsidR="00552BA9" w:rsidRPr="00252EE1" w:rsidTr="002C5534">
        <w:trPr>
          <w:trHeight w:val="35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BA9" w:rsidRPr="00252EE1" w:rsidRDefault="00552BA9" w:rsidP="002C5534">
            <w:pPr>
              <w:widowControl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BA9" w:rsidRPr="00252EE1" w:rsidRDefault="00552BA9" w:rsidP="002C5534">
            <w:pPr>
              <w:numPr>
                <w:ilvl w:val="0"/>
                <w:numId w:val="1"/>
              </w:numPr>
              <w:rPr>
                <w:rFonts w:ascii="標楷體" w:eastAsia="標楷體" w:hAnsi="標楷體"/>
                <w:sz w:val="26"/>
                <w:szCs w:val="26"/>
              </w:rPr>
            </w:pPr>
            <w:r w:rsidRPr="00252EE1">
              <w:rPr>
                <w:rFonts w:ascii="標楷體" w:eastAsia="標楷體" w:hAnsi="標楷體" w:hint="eastAsia"/>
                <w:sz w:val="26"/>
                <w:szCs w:val="26"/>
              </w:rPr>
              <w:t>學分給予、上課週數、時數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BA9" w:rsidRPr="00252EE1" w:rsidRDefault="00552BA9" w:rsidP="002C5534">
            <w:pPr>
              <w:ind w:left="47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52EE1">
              <w:rPr>
                <w:rFonts w:ascii="標楷體" w:eastAsia="標楷體" w:hAnsi="標楷體" w:hint="eastAsia"/>
                <w:b/>
                <w:sz w:val="26"/>
                <w:szCs w:val="26"/>
              </w:rPr>
              <w:t>/ 10</w:t>
            </w:r>
          </w:p>
        </w:tc>
      </w:tr>
      <w:tr w:rsidR="00552BA9" w:rsidRPr="00252EE1" w:rsidTr="002C5534">
        <w:trPr>
          <w:trHeight w:val="359"/>
          <w:jc w:val="center"/>
        </w:trPr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BA9" w:rsidRPr="00252EE1" w:rsidRDefault="00552BA9" w:rsidP="002C5534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52EE1">
              <w:rPr>
                <w:rFonts w:ascii="標楷體" w:eastAsia="標楷體" w:hAnsi="標楷體" w:hint="eastAsia"/>
                <w:b/>
                <w:sz w:val="26"/>
                <w:szCs w:val="26"/>
              </w:rPr>
              <w:t>師資質量</w:t>
            </w:r>
          </w:p>
          <w:p w:rsidR="00552BA9" w:rsidRPr="00252EE1" w:rsidRDefault="00552BA9" w:rsidP="002C553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52EE1">
              <w:rPr>
                <w:rFonts w:ascii="標楷體" w:eastAsia="標楷體" w:hAnsi="標楷體" w:hint="eastAsia"/>
                <w:b/>
                <w:sz w:val="26"/>
                <w:szCs w:val="26"/>
              </w:rPr>
              <w:t>(30%)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BA9" w:rsidRPr="00252EE1" w:rsidRDefault="00552BA9" w:rsidP="002C5534">
            <w:pPr>
              <w:numPr>
                <w:ilvl w:val="0"/>
                <w:numId w:val="5"/>
              </w:numPr>
              <w:rPr>
                <w:rFonts w:ascii="標楷體" w:eastAsia="標楷體" w:hAnsi="標楷體"/>
                <w:sz w:val="26"/>
                <w:szCs w:val="26"/>
              </w:rPr>
            </w:pPr>
            <w:r w:rsidRPr="00252EE1">
              <w:rPr>
                <w:rFonts w:ascii="標楷體" w:eastAsia="標楷體" w:hAnsi="標楷體" w:hint="eastAsia"/>
                <w:sz w:val="26"/>
                <w:szCs w:val="26"/>
              </w:rPr>
              <w:t>師資(群)學經歷優良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BA9" w:rsidRPr="00252EE1" w:rsidRDefault="00552BA9" w:rsidP="002C5534">
            <w:pPr>
              <w:ind w:left="47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52EE1">
              <w:rPr>
                <w:rFonts w:ascii="標楷體" w:eastAsia="標楷體" w:hAnsi="標楷體" w:hint="eastAsia"/>
                <w:b/>
                <w:sz w:val="26"/>
                <w:szCs w:val="26"/>
              </w:rPr>
              <w:t>/ 15</w:t>
            </w:r>
          </w:p>
        </w:tc>
      </w:tr>
      <w:tr w:rsidR="00552BA9" w:rsidRPr="00252EE1" w:rsidTr="002C5534">
        <w:trPr>
          <w:trHeight w:val="35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BA9" w:rsidRPr="00252EE1" w:rsidRDefault="00552BA9" w:rsidP="002C5534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BA9" w:rsidRPr="00252EE1" w:rsidRDefault="00552BA9" w:rsidP="002C5534">
            <w:pPr>
              <w:numPr>
                <w:ilvl w:val="0"/>
                <w:numId w:val="5"/>
              </w:numPr>
              <w:rPr>
                <w:rFonts w:ascii="標楷體" w:eastAsia="標楷體" w:hAnsi="標楷體"/>
                <w:sz w:val="26"/>
                <w:szCs w:val="26"/>
              </w:rPr>
            </w:pPr>
            <w:r w:rsidRPr="00252EE1">
              <w:rPr>
                <w:rFonts w:ascii="標楷體" w:eastAsia="標楷體" w:hAnsi="標楷體" w:hint="eastAsia"/>
                <w:sz w:val="26"/>
                <w:szCs w:val="26"/>
              </w:rPr>
              <w:t>師資(群)專長與課程相符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BA9" w:rsidRPr="00252EE1" w:rsidRDefault="00552BA9" w:rsidP="002C5534">
            <w:pPr>
              <w:ind w:left="47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52EE1">
              <w:rPr>
                <w:rFonts w:ascii="標楷體" w:eastAsia="標楷體" w:hAnsi="標楷體" w:hint="eastAsia"/>
                <w:b/>
                <w:sz w:val="26"/>
                <w:szCs w:val="26"/>
              </w:rPr>
              <w:t>/ 15</w:t>
            </w:r>
          </w:p>
        </w:tc>
      </w:tr>
      <w:tr w:rsidR="00552BA9" w:rsidRPr="00252EE1" w:rsidTr="002C5534">
        <w:trPr>
          <w:trHeight w:val="390"/>
          <w:jc w:val="center"/>
        </w:trPr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BA9" w:rsidRPr="00252EE1" w:rsidRDefault="00552BA9" w:rsidP="002C5534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52EE1">
              <w:rPr>
                <w:rFonts w:ascii="標楷體" w:eastAsia="標楷體" w:hAnsi="標楷體" w:hint="eastAsia"/>
                <w:b/>
                <w:sz w:val="26"/>
                <w:szCs w:val="26"/>
              </w:rPr>
              <w:t>教學資源</w:t>
            </w:r>
          </w:p>
          <w:p w:rsidR="00552BA9" w:rsidRPr="00252EE1" w:rsidRDefault="00552BA9" w:rsidP="002C5534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52EE1">
              <w:rPr>
                <w:rFonts w:ascii="標楷體" w:eastAsia="標楷體" w:hAnsi="標楷體" w:hint="eastAsia"/>
                <w:b/>
                <w:sz w:val="26"/>
                <w:szCs w:val="26"/>
              </w:rPr>
              <w:t>(20%)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BA9" w:rsidRPr="00252EE1" w:rsidRDefault="00552BA9" w:rsidP="002C5534">
            <w:pPr>
              <w:numPr>
                <w:ilvl w:val="0"/>
                <w:numId w:val="2"/>
              </w:numPr>
              <w:rPr>
                <w:rFonts w:ascii="標楷體" w:eastAsia="標楷體" w:hAnsi="標楷體"/>
                <w:sz w:val="26"/>
                <w:szCs w:val="26"/>
              </w:rPr>
            </w:pPr>
            <w:r w:rsidRPr="00252EE1">
              <w:rPr>
                <w:rFonts w:ascii="標楷體" w:eastAsia="標楷體" w:hAnsi="標楷體" w:hint="eastAsia"/>
                <w:sz w:val="26"/>
                <w:szCs w:val="26"/>
              </w:rPr>
              <w:t>教學設備、設施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BA9" w:rsidRPr="00252EE1" w:rsidRDefault="00552BA9" w:rsidP="002C5534">
            <w:pPr>
              <w:ind w:left="47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52EE1">
              <w:rPr>
                <w:rFonts w:ascii="標楷體" w:eastAsia="標楷體" w:hAnsi="標楷體" w:hint="eastAsia"/>
                <w:b/>
                <w:sz w:val="26"/>
                <w:szCs w:val="26"/>
              </w:rPr>
              <w:t>/ 15</w:t>
            </w:r>
          </w:p>
        </w:tc>
      </w:tr>
      <w:tr w:rsidR="00552BA9" w:rsidRPr="00252EE1" w:rsidTr="002C5534">
        <w:trPr>
          <w:trHeight w:val="39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BA9" w:rsidRPr="00252EE1" w:rsidRDefault="00552BA9" w:rsidP="002C5534">
            <w:pPr>
              <w:widowControl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BA9" w:rsidRPr="00252EE1" w:rsidRDefault="00552BA9" w:rsidP="002C5534">
            <w:pPr>
              <w:numPr>
                <w:ilvl w:val="0"/>
                <w:numId w:val="2"/>
              </w:numPr>
              <w:rPr>
                <w:rFonts w:ascii="標楷體" w:eastAsia="標楷體" w:hAnsi="標楷體"/>
                <w:sz w:val="26"/>
                <w:szCs w:val="26"/>
              </w:rPr>
            </w:pPr>
            <w:r w:rsidRPr="00252EE1">
              <w:rPr>
                <w:rFonts w:ascii="標楷體" w:eastAsia="標楷體" w:hAnsi="標楷體" w:hint="eastAsia"/>
                <w:sz w:val="26"/>
                <w:szCs w:val="26"/>
              </w:rPr>
              <w:t>教學場所、上課地點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BA9" w:rsidRPr="00252EE1" w:rsidRDefault="00552BA9" w:rsidP="002C5534">
            <w:pPr>
              <w:ind w:left="47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52EE1">
              <w:rPr>
                <w:rFonts w:ascii="標楷體" w:eastAsia="標楷體" w:hAnsi="標楷體" w:hint="eastAsia"/>
                <w:b/>
                <w:sz w:val="26"/>
                <w:szCs w:val="26"/>
              </w:rPr>
              <w:t>/ 5</w:t>
            </w:r>
          </w:p>
        </w:tc>
      </w:tr>
      <w:tr w:rsidR="00552BA9" w:rsidRPr="00252EE1" w:rsidTr="002C5534">
        <w:trPr>
          <w:trHeight w:val="143"/>
          <w:jc w:val="center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BA9" w:rsidRPr="00252EE1" w:rsidRDefault="00552BA9" w:rsidP="002C5534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52EE1">
              <w:rPr>
                <w:rFonts w:ascii="標楷體" w:eastAsia="標楷體" w:hAnsi="標楷體" w:hint="eastAsia"/>
                <w:b/>
                <w:sz w:val="26"/>
                <w:szCs w:val="26"/>
              </w:rPr>
              <w:t>其他認定標準</w:t>
            </w:r>
          </w:p>
          <w:p w:rsidR="00552BA9" w:rsidRPr="00252EE1" w:rsidRDefault="00552BA9" w:rsidP="002C5534">
            <w:pPr>
              <w:jc w:val="center"/>
              <w:rPr>
                <w:rFonts w:ascii="標楷體" w:eastAsia="標楷體" w:hAnsi="標楷體"/>
              </w:rPr>
            </w:pPr>
            <w:r w:rsidRPr="00252EE1">
              <w:rPr>
                <w:rFonts w:ascii="標楷體" w:eastAsia="標楷體" w:hAnsi="標楷體" w:hint="eastAsia"/>
                <w:b/>
                <w:sz w:val="26"/>
                <w:szCs w:val="26"/>
              </w:rPr>
              <w:t>(10%)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A9" w:rsidRPr="00252EE1" w:rsidRDefault="00552BA9" w:rsidP="002C5534">
            <w:pPr>
              <w:numPr>
                <w:ilvl w:val="0"/>
                <w:numId w:val="3"/>
              </w:numPr>
              <w:rPr>
                <w:rFonts w:ascii="標楷體" w:eastAsia="標楷體" w:hAnsi="標楷體"/>
                <w:sz w:val="26"/>
                <w:szCs w:val="26"/>
              </w:rPr>
            </w:pPr>
            <w:r w:rsidRPr="00252EE1">
              <w:rPr>
                <w:rFonts w:ascii="標楷體" w:eastAsia="標楷體" w:hAnsi="標楷體" w:hint="eastAsia"/>
                <w:sz w:val="26"/>
                <w:szCs w:val="26"/>
              </w:rPr>
              <w:t>經費預算、辦理單位</w:t>
            </w:r>
          </w:p>
          <w:p w:rsidR="00552BA9" w:rsidRPr="00252EE1" w:rsidRDefault="00552BA9" w:rsidP="002C5534">
            <w:pPr>
              <w:numPr>
                <w:ilvl w:val="0"/>
                <w:numId w:val="3"/>
              </w:numPr>
              <w:rPr>
                <w:rFonts w:ascii="標楷體" w:eastAsia="標楷體" w:hAnsi="標楷體"/>
                <w:sz w:val="26"/>
                <w:szCs w:val="26"/>
              </w:rPr>
            </w:pPr>
            <w:r w:rsidRPr="00252EE1">
              <w:rPr>
                <w:rFonts w:ascii="標楷體" w:eastAsia="標楷體" w:hAnsi="標楷體" w:hint="eastAsia"/>
                <w:sz w:val="26"/>
                <w:szCs w:val="26"/>
              </w:rPr>
              <w:t>由學者專家自行決定</w:t>
            </w:r>
            <w:r w:rsidRPr="00252EE1">
              <w:rPr>
                <w:rFonts w:ascii="標楷體" w:eastAsia="標楷體" w:hAnsi="標楷體" w:hint="eastAsia"/>
                <w:sz w:val="26"/>
                <w:szCs w:val="26"/>
              </w:rPr>
              <w:br/>
              <w:t>(如：資料豐富性、多元性等)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BA9" w:rsidRPr="00252EE1" w:rsidRDefault="00552BA9" w:rsidP="002C5534">
            <w:pPr>
              <w:ind w:left="47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52EE1">
              <w:rPr>
                <w:rFonts w:ascii="標楷體" w:eastAsia="標楷體" w:hAnsi="標楷體" w:hint="eastAsia"/>
                <w:b/>
                <w:sz w:val="26"/>
                <w:szCs w:val="26"/>
              </w:rPr>
              <w:t>/ 10</w:t>
            </w:r>
          </w:p>
        </w:tc>
      </w:tr>
      <w:tr w:rsidR="00552BA9" w:rsidRPr="00252EE1" w:rsidTr="002C5534">
        <w:trPr>
          <w:trHeight w:val="143"/>
          <w:jc w:val="center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BA9" w:rsidRPr="00252EE1" w:rsidRDefault="00552BA9" w:rsidP="002C5534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52EE1">
              <w:rPr>
                <w:rFonts w:ascii="標楷體" w:eastAsia="標楷體" w:hAnsi="標楷體" w:hint="eastAsia"/>
                <w:b/>
                <w:sz w:val="32"/>
                <w:szCs w:val="32"/>
              </w:rPr>
              <w:t>總     分</w:t>
            </w:r>
          </w:p>
        </w:tc>
        <w:tc>
          <w:tcPr>
            <w:tcW w:w="7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BA9" w:rsidRPr="00252EE1" w:rsidRDefault="00552BA9" w:rsidP="002C553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52EE1">
              <w:rPr>
                <w:rFonts w:ascii="標楷體" w:eastAsia="標楷體" w:hAnsi="標楷體" w:hint="eastAsia"/>
                <w:sz w:val="32"/>
                <w:szCs w:val="32"/>
              </w:rPr>
              <w:t>分</w:t>
            </w:r>
          </w:p>
        </w:tc>
      </w:tr>
      <w:tr w:rsidR="00552BA9" w:rsidRPr="00252EE1" w:rsidTr="002C5534">
        <w:trPr>
          <w:trHeight w:val="143"/>
          <w:jc w:val="center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BA9" w:rsidRPr="00252EE1" w:rsidRDefault="00552BA9" w:rsidP="002C5534">
            <w:pPr>
              <w:ind w:left="113" w:right="113" w:firstLine="12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52EE1">
              <w:rPr>
                <w:rFonts w:ascii="標楷體" w:eastAsia="標楷體" w:hAnsi="標楷體" w:hint="eastAsia"/>
                <w:b/>
                <w:sz w:val="26"/>
                <w:szCs w:val="26"/>
              </w:rPr>
              <w:t>審 查 結 果</w:t>
            </w:r>
          </w:p>
        </w:tc>
        <w:tc>
          <w:tcPr>
            <w:tcW w:w="7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BA9" w:rsidRPr="00252EE1" w:rsidRDefault="00552BA9" w:rsidP="002C5534">
            <w:pPr>
              <w:ind w:right="113" w:firstLineChars="50" w:firstLine="13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52EE1">
              <w:rPr>
                <w:rFonts w:ascii="標楷體" w:eastAsia="標楷體" w:hAnsi="標楷體" w:hint="eastAsia"/>
                <w:sz w:val="26"/>
                <w:szCs w:val="26"/>
              </w:rPr>
              <w:t>□通過  【70分(含)以上】</w:t>
            </w:r>
          </w:p>
          <w:p w:rsidR="00552BA9" w:rsidRPr="00252EE1" w:rsidRDefault="00552BA9" w:rsidP="002C5534">
            <w:pPr>
              <w:ind w:right="113" w:firstLineChars="50" w:firstLine="13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52EE1">
              <w:rPr>
                <w:rFonts w:ascii="標楷體" w:eastAsia="標楷體" w:hAnsi="標楷體" w:hint="eastAsia"/>
                <w:sz w:val="26"/>
                <w:szCs w:val="26"/>
              </w:rPr>
              <w:t>□未通過【69分(含)以下】</w:t>
            </w:r>
          </w:p>
        </w:tc>
      </w:tr>
      <w:tr w:rsidR="00552BA9" w:rsidRPr="00252EE1" w:rsidTr="002C5534">
        <w:trPr>
          <w:trHeight w:val="143"/>
          <w:jc w:val="center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BA9" w:rsidRPr="00252EE1" w:rsidRDefault="00552BA9" w:rsidP="002C5534">
            <w:pPr>
              <w:ind w:left="113" w:right="113" w:firstLine="12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52EE1">
              <w:rPr>
                <w:rFonts w:ascii="標楷體" w:eastAsia="標楷體" w:hAnsi="標楷體" w:hint="eastAsia"/>
                <w:b/>
                <w:sz w:val="26"/>
                <w:szCs w:val="26"/>
              </w:rPr>
              <w:t>課程名稱是否建議修正</w:t>
            </w:r>
          </w:p>
        </w:tc>
        <w:tc>
          <w:tcPr>
            <w:tcW w:w="7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BA9" w:rsidRPr="00252EE1" w:rsidRDefault="00552BA9" w:rsidP="002C5534">
            <w:pPr>
              <w:ind w:right="113" w:firstLineChars="50" w:firstLine="130"/>
              <w:jc w:val="both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252EE1">
              <w:rPr>
                <w:rFonts w:ascii="標楷體" w:eastAsia="標楷體" w:hAnsi="標楷體" w:hint="eastAsia"/>
                <w:sz w:val="26"/>
                <w:szCs w:val="26"/>
              </w:rPr>
              <w:t>□是，建議修正為：</w:t>
            </w:r>
            <w:r w:rsidRPr="00252EE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               </w:t>
            </w:r>
          </w:p>
          <w:p w:rsidR="00552BA9" w:rsidRPr="00252EE1" w:rsidRDefault="00552BA9" w:rsidP="002C5534">
            <w:pPr>
              <w:ind w:right="113" w:firstLineChars="50" w:firstLine="13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252EE1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  <w:proofErr w:type="gramEnd"/>
            <w:r w:rsidRPr="00252EE1">
              <w:rPr>
                <w:rFonts w:ascii="標楷體" w:eastAsia="標楷體" w:hAnsi="標楷體" w:hint="eastAsia"/>
                <w:sz w:val="26"/>
                <w:szCs w:val="26"/>
              </w:rPr>
              <w:t>，維持原名。</w:t>
            </w:r>
          </w:p>
        </w:tc>
      </w:tr>
      <w:tr w:rsidR="00552BA9" w:rsidRPr="00252EE1" w:rsidTr="002C5534">
        <w:trPr>
          <w:trHeight w:val="143"/>
          <w:jc w:val="center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BA9" w:rsidRPr="00252EE1" w:rsidRDefault="00552BA9" w:rsidP="002C5534">
            <w:pPr>
              <w:ind w:left="113" w:right="113" w:firstLine="12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52EE1">
              <w:rPr>
                <w:rFonts w:ascii="標楷體" w:eastAsia="標楷體" w:hAnsi="標楷體" w:hint="eastAsia"/>
                <w:b/>
                <w:sz w:val="26"/>
                <w:szCs w:val="26"/>
              </w:rPr>
              <w:t>是否建議評鑑</w:t>
            </w:r>
          </w:p>
          <w:p w:rsidR="00552BA9" w:rsidRPr="00252EE1" w:rsidRDefault="00552BA9" w:rsidP="002C5534">
            <w:pPr>
              <w:ind w:left="113" w:right="113" w:firstLine="12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52EE1">
              <w:rPr>
                <w:rFonts w:ascii="標楷體" w:eastAsia="標楷體" w:hAnsi="標楷體" w:hint="eastAsia"/>
                <w:b/>
                <w:sz w:val="26"/>
                <w:szCs w:val="26"/>
              </w:rPr>
              <w:t>(請擇</w:t>
            </w:r>
            <w:proofErr w:type="gramStart"/>
            <w:r w:rsidRPr="00252EE1">
              <w:rPr>
                <w:rFonts w:ascii="標楷體" w:eastAsia="標楷體" w:hAnsi="標楷體" w:hint="eastAsia"/>
                <w:b/>
                <w:sz w:val="26"/>
                <w:szCs w:val="26"/>
              </w:rPr>
              <w:t>一</w:t>
            </w:r>
            <w:proofErr w:type="gramEnd"/>
            <w:r w:rsidRPr="00252EE1">
              <w:rPr>
                <w:rFonts w:ascii="標楷體" w:eastAsia="標楷體" w:hAnsi="標楷體" w:hint="eastAsia"/>
                <w:b/>
                <w:sz w:val="26"/>
                <w:szCs w:val="26"/>
              </w:rPr>
              <w:t>勾選)</w:t>
            </w:r>
          </w:p>
        </w:tc>
        <w:tc>
          <w:tcPr>
            <w:tcW w:w="7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BA9" w:rsidRPr="00252EE1" w:rsidRDefault="00552BA9" w:rsidP="002C5534">
            <w:pPr>
              <w:ind w:right="113" w:firstLineChars="50" w:firstLine="130"/>
              <w:jc w:val="both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252EE1">
              <w:rPr>
                <w:rFonts w:ascii="標楷體" w:eastAsia="標楷體" w:hAnsi="標楷體" w:hint="eastAsia"/>
                <w:sz w:val="26"/>
                <w:szCs w:val="26"/>
              </w:rPr>
              <w:t>□建議於開課期間評鑑。理由：</w:t>
            </w:r>
            <w:r w:rsidRPr="00252EE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             </w:t>
            </w:r>
          </w:p>
          <w:p w:rsidR="00552BA9" w:rsidRPr="00252EE1" w:rsidRDefault="00552BA9" w:rsidP="002C5534">
            <w:pPr>
              <w:ind w:right="113" w:firstLineChars="50" w:firstLine="130"/>
              <w:jc w:val="both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252EE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                                          </w:t>
            </w:r>
          </w:p>
          <w:p w:rsidR="00552BA9" w:rsidRPr="00252EE1" w:rsidRDefault="00552BA9" w:rsidP="002C5534">
            <w:pPr>
              <w:ind w:right="113" w:firstLineChars="50" w:firstLine="130"/>
              <w:jc w:val="both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252EE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                                        </w:t>
            </w:r>
          </w:p>
          <w:p w:rsidR="00552BA9" w:rsidRPr="00252EE1" w:rsidRDefault="00552BA9" w:rsidP="002C5534">
            <w:pPr>
              <w:ind w:right="113" w:firstLineChars="50" w:firstLine="13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52EE1">
              <w:rPr>
                <w:rFonts w:ascii="標楷體" w:eastAsia="標楷體" w:hAnsi="標楷體" w:hint="eastAsia"/>
                <w:sz w:val="26"/>
                <w:szCs w:val="26"/>
              </w:rPr>
              <w:t>□沒有意見，依照認證機構流程辦理。</w:t>
            </w:r>
          </w:p>
        </w:tc>
      </w:tr>
      <w:tr w:rsidR="00552BA9" w:rsidRPr="00252EE1" w:rsidTr="002C5534">
        <w:trPr>
          <w:trHeight w:val="143"/>
          <w:jc w:val="center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BA9" w:rsidRPr="00252EE1" w:rsidRDefault="00552BA9" w:rsidP="002C5534">
            <w:pPr>
              <w:ind w:left="113" w:right="113" w:firstLine="12"/>
              <w:jc w:val="center"/>
              <w:rPr>
                <w:rFonts w:ascii="標楷體" w:eastAsia="標楷體" w:hAnsi="標楷體"/>
                <w:b/>
              </w:rPr>
            </w:pPr>
            <w:r w:rsidRPr="00252EE1">
              <w:rPr>
                <w:rFonts w:ascii="標楷體" w:eastAsia="標楷體" w:hAnsi="標楷體" w:hint="eastAsia"/>
                <w:b/>
              </w:rPr>
              <w:t>課程內容適合發展的方向</w:t>
            </w:r>
          </w:p>
          <w:p w:rsidR="00552BA9" w:rsidRPr="00252EE1" w:rsidRDefault="00552BA9" w:rsidP="002C5534">
            <w:pPr>
              <w:ind w:left="113" w:right="113" w:firstLine="12"/>
              <w:jc w:val="center"/>
              <w:rPr>
                <w:rFonts w:ascii="標楷體" w:eastAsia="標楷體" w:hAnsi="標楷體"/>
                <w:b/>
              </w:rPr>
            </w:pPr>
            <w:r w:rsidRPr="00252EE1">
              <w:rPr>
                <w:rFonts w:ascii="標楷體" w:eastAsia="標楷體" w:hAnsi="標楷體" w:hint="eastAsia"/>
                <w:b/>
                <w:sz w:val="26"/>
                <w:szCs w:val="26"/>
              </w:rPr>
              <w:t>(請擇</w:t>
            </w:r>
            <w:proofErr w:type="gramStart"/>
            <w:r w:rsidRPr="00252EE1">
              <w:rPr>
                <w:rFonts w:ascii="標楷體" w:eastAsia="標楷體" w:hAnsi="標楷體" w:hint="eastAsia"/>
                <w:b/>
                <w:sz w:val="26"/>
                <w:szCs w:val="26"/>
              </w:rPr>
              <w:t>一</w:t>
            </w:r>
            <w:proofErr w:type="gramEnd"/>
            <w:r w:rsidRPr="00252EE1">
              <w:rPr>
                <w:rFonts w:ascii="標楷體" w:eastAsia="標楷體" w:hAnsi="標楷體" w:hint="eastAsia"/>
                <w:b/>
                <w:sz w:val="26"/>
                <w:szCs w:val="26"/>
              </w:rPr>
              <w:t>勾選)</w:t>
            </w:r>
          </w:p>
        </w:tc>
        <w:tc>
          <w:tcPr>
            <w:tcW w:w="7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A9" w:rsidRPr="00252EE1" w:rsidRDefault="00552BA9" w:rsidP="002C5534">
            <w:pPr>
              <w:ind w:right="113" w:firstLineChars="50" w:firstLine="13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52EE1">
              <w:rPr>
                <w:rFonts w:ascii="標楷體" w:eastAsia="標楷體" w:hAnsi="標楷體" w:hint="eastAsia"/>
                <w:sz w:val="26"/>
                <w:szCs w:val="26"/>
              </w:rPr>
              <w:t>□可與大學</w:t>
            </w:r>
            <w:r w:rsidRPr="00252EE1">
              <w:rPr>
                <w:rFonts w:ascii="標楷體" w:eastAsia="標楷體" w:hAnsi="標楷體" w:hint="eastAsia"/>
                <w:b/>
                <w:sz w:val="26"/>
                <w:szCs w:val="26"/>
              </w:rPr>
              <w:t>專業課程</w:t>
            </w:r>
            <w:r w:rsidRPr="00252EE1">
              <w:rPr>
                <w:rFonts w:ascii="標楷體" w:eastAsia="標楷體" w:hAnsi="標楷體" w:hint="eastAsia"/>
                <w:sz w:val="26"/>
                <w:szCs w:val="26"/>
              </w:rPr>
              <w:t>接軌，如</w:t>
            </w:r>
            <w:r w:rsidRPr="00252EE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</w:t>
            </w:r>
            <w:r w:rsidRPr="00252EE1">
              <w:rPr>
                <w:rFonts w:ascii="標楷體" w:eastAsia="標楷體" w:hAnsi="標楷體" w:hint="eastAsia"/>
                <w:sz w:val="26"/>
                <w:szCs w:val="26"/>
              </w:rPr>
              <w:t>領域</w:t>
            </w:r>
            <w:r w:rsidRPr="00252EE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</w:t>
            </w:r>
            <w:r w:rsidRPr="00252EE1">
              <w:rPr>
                <w:rFonts w:ascii="標楷體" w:eastAsia="標楷體" w:hAnsi="標楷體" w:hint="eastAsia"/>
                <w:sz w:val="26"/>
                <w:szCs w:val="26"/>
              </w:rPr>
              <w:t>課程。</w:t>
            </w:r>
          </w:p>
          <w:p w:rsidR="00552BA9" w:rsidRPr="00252EE1" w:rsidRDefault="00552BA9" w:rsidP="002C5534">
            <w:pPr>
              <w:ind w:right="113" w:firstLineChars="50" w:firstLine="13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52EE1">
              <w:rPr>
                <w:rFonts w:ascii="標楷體" w:eastAsia="標楷體" w:hAnsi="標楷體" w:hint="eastAsia"/>
                <w:sz w:val="26"/>
                <w:szCs w:val="26"/>
              </w:rPr>
              <w:t>□可與大學</w:t>
            </w:r>
            <w:r w:rsidRPr="00252EE1">
              <w:rPr>
                <w:rFonts w:ascii="標楷體" w:eastAsia="標楷體" w:hAnsi="標楷體" w:hint="eastAsia"/>
                <w:b/>
                <w:sz w:val="26"/>
                <w:szCs w:val="26"/>
              </w:rPr>
              <w:t>通識課程</w:t>
            </w:r>
            <w:r w:rsidRPr="00252EE1">
              <w:rPr>
                <w:rFonts w:ascii="標楷體" w:eastAsia="標楷體" w:hAnsi="標楷體" w:hint="eastAsia"/>
                <w:sz w:val="26"/>
                <w:szCs w:val="26"/>
              </w:rPr>
              <w:t>接軌，如</w:t>
            </w:r>
            <w:r w:rsidRPr="00252EE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</w:t>
            </w:r>
            <w:r w:rsidRPr="00252EE1">
              <w:rPr>
                <w:rFonts w:ascii="標楷體" w:eastAsia="標楷體" w:hAnsi="標楷體" w:hint="eastAsia"/>
                <w:sz w:val="26"/>
                <w:szCs w:val="26"/>
              </w:rPr>
              <w:t>領域</w:t>
            </w:r>
            <w:r w:rsidRPr="00252EE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</w:t>
            </w:r>
            <w:r w:rsidRPr="00252EE1">
              <w:rPr>
                <w:rFonts w:ascii="標楷體" w:eastAsia="標楷體" w:hAnsi="標楷體" w:hint="eastAsia"/>
                <w:sz w:val="26"/>
                <w:szCs w:val="26"/>
              </w:rPr>
              <w:t>課程。</w:t>
            </w:r>
          </w:p>
          <w:p w:rsidR="00552BA9" w:rsidRPr="00252EE1" w:rsidRDefault="00552BA9" w:rsidP="002C5534">
            <w:pPr>
              <w:ind w:right="113" w:firstLineChars="50" w:firstLine="13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52EE1">
              <w:rPr>
                <w:rFonts w:ascii="標楷體" w:eastAsia="標楷體" w:hAnsi="標楷體" w:hint="eastAsia"/>
                <w:sz w:val="26"/>
                <w:szCs w:val="26"/>
              </w:rPr>
              <w:t>□可朝</w:t>
            </w:r>
            <w:r w:rsidRPr="00252EE1">
              <w:rPr>
                <w:rFonts w:ascii="標楷體" w:eastAsia="標楷體" w:hAnsi="標楷體" w:hint="eastAsia"/>
                <w:b/>
                <w:sz w:val="26"/>
                <w:szCs w:val="26"/>
              </w:rPr>
              <w:t>機構特色課程</w:t>
            </w:r>
            <w:r w:rsidRPr="00252EE1">
              <w:rPr>
                <w:rFonts w:ascii="標楷體" w:eastAsia="標楷體" w:hAnsi="標楷體" w:hint="eastAsia"/>
                <w:sz w:val="26"/>
                <w:szCs w:val="26"/>
              </w:rPr>
              <w:t>發展。</w:t>
            </w:r>
          </w:p>
          <w:p w:rsidR="00552BA9" w:rsidRPr="00252EE1" w:rsidRDefault="00552BA9" w:rsidP="002C5534">
            <w:pPr>
              <w:ind w:right="113" w:firstLineChars="50" w:firstLine="13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52EE1">
              <w:rPr>
                <w:rFonts w:ascii="標楷體" w:eastAsia="標楷體" w:hAnsi="標楷體" w:hint="eastAsia"/>
                <w:sz w:val="26"/>
                <w:szCs w:val="26"/>
              </w:rPr>
              <w:t>□可</w:t>
            </w:r>
            <w:r w:rsidRPr="00252EE1">
              <w:rPr>
                <w:rFonts w:ascii="標楷體" w:eastAsia="標楷體" w:hAnsi="標楷體" w:hint="eastAsia"/>
                <w:b/>
                <w:sz w:val="26"/>
                <w:szCs w:val="26"/>
              </w:rPr>
              <w:t>結合其他課程發展為學程，建議學程為：</w:t>
            </w:r>
            <w:r w:rsidRPr="00252EE1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 xml:space="preserve">             </w:t>
            </w:r>
            <w:r w:rsidRPr="00252EE1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552BA9" w:rsidRPr="00252EE1" w:rsidRDefault="00552BA9" w:rsidP="002C5534">
            <w:pPr>
              <w:ind w:right="113" w:firstLineChars="50" w:firstLine="13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52EE1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252EE1">
              <w:rPr>
                <w:rFonts w:ascii="標楷體" w:eastAsia="標楷體" w:hAnsi="標楷體" w:hint="eastAsia"/>
                <w:b/>
                <w:sz w:val="26"/>
                <w:szCs w:val="26"/>
              </w:rPr>
              <w:t>皆無</w:t>
            </w:r>
            <w:r w:rsidRPr="00252EE1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552BA9" w:rsidRPr="00252EE1" w:rsidRDefault="00552BA9" w:rsidP="002C5534">
            <w:pPr>
              <w:ind w:right="113" w:firstLineChars="50" w:firstLine="130"/>
              <w:jc w:val="both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252EE1">
              <w:rPr>
                <w:rFonts w:ascii="標楷體" w:eastAsia="標楷體" w:hAnsi="標楷體" w:hint="eastAsia"/>
                <w:sz w:val="26"/>
                <w:szCs w:val="26"/>
              </w:rPr>
              <w:t>選擇的理由：</w:t>
            </w:r>
            <w:r w:rsidRPr="00252EE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             </w:t>
            </w:r>
          </w:p>
          <w:p w:rsidR="00552BA9" w:rsidRPr="00252EE1" w:rsidRDefault="00552BA9" w:rsidP="002C5534">
            <w:pPr>
              <w:ind w:right="113" w:firstLineChars="50" w:firstLine="130"/>
              <w:jc w:val="both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252EE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                                         </w:t>
            </w:r>
          </w:p>
        </w:tc>
      </w:tr>
      <w:tr w:rsidR="00552BA9" w:rsidRPr="00252EE1" w:rsidTr="002C5534">
        <w:trPr>
          <w:trHeight w:val="5518"/>
          <w:jc w:val="center"/>
        </w:trPr>
        <w:tc>
          <w:tcPr>
            <w:tcW w:w="2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2BA9" w:rsidRPr="00252EE1" w:rsidRDefault="00552BA9" w:rsidP="002C5534">
            <w:pPr>
              <w:snapToGrid w:val="0"/>
              <w:ind w:left="113" w:right="113" w:firstLine="11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52EE1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綜合評述</w:t>
            </w:r>
          </w:p>
          <w:p w:rsidR="00552BA9" w:rsidRPr="00252EE1" w:rsidRDefault="00552BA9" w:rsidP="002C5534">
            <w:pPr>
              <w:ind w:left="113" w:right="113" w:firstLine="12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52EE1">
              <w:rPr>
                <w:rFonts w:ascii="標楷體" w:eastAsia="標楷體" w:hAnsi="標楷體" w:hint="eastAsia"/>
                <w:b/>
                <w:sz w:val="28"/>
                <w:szCs w:val="28"/>
              </w:rPr>
              <w:t>（改進建議）</w:t>
            </w:r>
          </w:p>
          <w:p w:rsidR="00552BA9" w:rsidRPr="00252EE1" w:rsidRDefault="00552BA9" w:rsidP="002C5534">
            <w:pPr>
              <w:ind w:left="113" w:right="113" w:firstLine="12"/>
              <w:jc w:val="center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252EE1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注意：本門課程總分及綜合評述意見將提供給該終身學習機構參考</w:t>
            </w:r>
          </w:p>
          <w:p w:rsidR="00552BA9" w:rsidRPr="00252EE1" w:rsidRDefault="00552BA9" w:rsidP="002C5534">
            <w:pPr>
              <w:ind w:left="113" w:right="113" w:firstLine="12"/>
              <w:jc w:val="center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  <w:p w:rsidR="00552BA9" w:rsidRPr="00252EE1" w:rsidRDefault="00552BA9" w:rsidP="002C5534">
            <w:pPr>
              <w:ind w:left="113" w:right="113" w:firstLine="12"/>
              <w:jc w:val="center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  <w:p w:rsidR="00552BA9" w:rsidRPr="00252EE1" w:rsidRDefault="00552BA9" w:rsidP="002C5534">
            <w:pPr>
              <w:ind w:left="113" w:right="113" w:firstLine="12"/>
              <w:jc w:val="center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  <w:p w:rsidR="00552BA9" w:rsidRPr="00252EE1" w:rsidRDefault="00552BA9" w:rsidP="002C5534">
            <w:pPr>
              <w:ind w:left="113" w:right="113" w:firstLine="12"/>
              <w:jc w:val="center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  <w:p w:rsidR="00552BA9" w:rsidRPr="00252EE1" w:rsidRDefault="00552BA9" w:rsidP="002C5534">
            <w:pPr>
              <w:ind w:left="113" w:right="113" w:firstLine="12"/>
              <w:jc w:val="center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  <w:p w:rsidR="00552BA9" w:rsidRPr="00252EE1" w:rsidRDefault="00552BA9" w:rsidP="002C5534">
            <w:pPr>
              <w:ind w:left="113" w:right="113" w:firstLine="12"/>
              <w:jc w:val="center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  <w:p w:rsidR="00552BA9" w:rsidRPr="00252EE1" w:rsidRDefault="00552BA9" w:rsidP="002C5534">
            <w:pPr>
              <w:ind w:left="113" w:right="113" w:firstLine="12"/>
              <w:jc w:val="center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  <w:p w:rsidR="00552BA9" w:rsidRPr="00252EE1" w:rsidRDefault="00552BA9" w:rsidP="002C5534">
            <w:pPr>
              <w:ind w:left="113" w:right="113" w:firstLine="12"/>
              <w:jc w:val="center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  <w:p w:rsidR="00552BA9" w:rsidRPr="00252EE1" w:rsidRDefault="00552BA9" w:rsidP="002C5534">
            <w:pPr>
              <w:ind w:left="113" w:right="113" w:firstLine="12"/>
              <w:jc w:val="center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  <w:p w:rsidR="00552BA9" w:rsidRPr="00252EE1" w:rsidRDefault="00552BA9" w:rsidP="002C5534">
            <w:pPr>
              <w:ind w:left="113" w:right="113" w:firstLine="12"/>
              <w:jc w:val="center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  <w:p w:rsidR="00552BA9" w:rsidRPr="00252EE1" w:rsidRDefault="00552BA9" w:rsidP="002C5534">
            <w:pPr>
              <w:ind w:left="113" w:right="113" w:firstLine="12"/>
              <w:jc w:val="center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  <w:p w:rsidR="00552BA9" w:rsidRPr="00252EE1" w:rsidRDefault="00552BA9" w:rsidP="002C5534">
            <w:pPr>
              <w:ind w:left="113" w:right="113" w:firstLine="12"/>
              <w:jc w:val="center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  <w:p w:rsidR="00552BA9" w:rsidRPr="00252EE1" w:rsidRDefault="00552BA9" w:rsidP="002C5534">
            <w:pPr>
              <w:ind w:left="113" w:right="113" w:firstLine="12"/>
              <w:jc w:val="center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  <w:p w:rsidR="00552BA9" w:rsidRPr="00252EE1" w:rsidRDefault="00552BA9" w:rsidP="002C5534">
            <w:pPr>
              <w:ind w:left="113" w:right="113" w:firstLine="12"/>
              <w:jc w:val="center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  <w:p w:rsidR="00552BA9" w:rsidRPr="00252EE1" w:rsidRDefault="00552BA9" w:rsidP="002C5534">
            <w:pPr>
              <w:ind w:left="113" w:right="113" w:firstLine="12"/>
              <w:jc w:val="center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  <w:p w:rsidR="00552BA9" w:rsidRPr="00252EE1" w:rsidRDefault="00552BA9" w:rsidP="002C5534">
            <w:pPr>
              <w:ind w:left="113" w:right="113" w:firstLine="12"/>
              <w:jc w:val="center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  <w:p w:rsidR="00552BA9" w:rsidRPr="00252EE1" w:rsidRDefault="00552BA9" w:rsidP="002C5534">
            <w:pPr>
              <w:ind w:right="113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</w:tc>
        <w:tc>
          <w:tcPr>
            <w:tcW w:w="73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BA9" w:rsidRPr="00252EE1" w:rsidRDefault="00552BA9" w:rsidP="002C5534">
            <w:pPr>
              <w:ind w:right="113" w:firstLineChars="2" w:firstLine="5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552BA9" w:rsidRPr="00252EE1" w:rsidRDefault="00552BA9" w:rsidP="00552BA9">
      <w:pPr>
        <w:rPr>
          <w:rFonts w:ascii="標楷體" w:eastAsia="標楷體" w:hAnsi="標楷體"/>
          <w:sz w:val="26"/>
          <w:szCs w:val="26"/>
        </w:rPr>
      </w:pPr>
    </w:p>
    <w:p w:rsidR="00552BA9" w:rsidRPr="00252EE1" w:rsidRDefault="00552BA9" w:rsidP="00552BA9">
      <w:pPr>
        <w:rPr>
          <w:rFonts w:eastAsia="標楷體"/>
        </w:rPr>
      </w:pPr>
      <w:r w:rsidRPr="00252EE1">
        <w:rPr>
          <w:rFonts w:eastAsia="標楷體" w:hint="eastAsia"/>
        </w:rPr>
        <w:t>學者專家簽名：</w:t>
      </w:r>
      <w:r w:rsidRPr="00252EE1">
        <w:rPr>
          <w:rFonts w:eastAsia="標楷體"/>
        </w:rPr>
        <w:t xml:space="preserve">                        </w:t>
      </w:r>
      <w:r w:rsidRPr="00252EE1">
        <w:rPr>
          <w:rFonts w:eastAsia="標楷體" w:hint="eastAsia"/>
        </w:rPr>
        <w:t>日期：民國</w:t>
      </w:r>
      <w:r w:rsidRPr="00252EE1">
        <w:rPr>
          <w:rFonts w:eastAsia="標楷體"/>
        </w:rPr>
        <w:t xml:space="preserve">    </w:t>
      </w:r>
      <w:r w:rsidRPr="00252EE1">
        <w:rPr>
          <w:rFonts w:eastAsia="標楷體" w:hint="eastAsia"/>
        </w:rPr>
        <w:t>年</w:t>
      </w:r>
      <w:r w:rsidRPr="00252EE1">
        <w:rPr>
          <w:rFonts w:eastAsia="標楷體"/>
        </w:rPr>
        <w:t xml:space="preserve">   </w:t>
      </w:r>
      <w:r w:rsidRPr="00252EE1">
        <w:rPr>
          <w:rFonts w:eastAsia="標楷體" w:hint="eastAsia"/>
        </w:rPr>
        <w:t>月</w:t>
      </w:r>
      <w:r w:rsidRPr="00252EE1">
        <w:rPr>
          <w:rFonts w:eastAsia="標楷體"/>
        </w:rPr>
        <w:t xml:space="preserve">    </w:t>
      </w:r>
      <w:r w:rsidRPr="00252EE1">
        <w:rPr>
          <w:rFonts w:eastAsia="標楷體" w:hint="eastAsia"/>
        </w:rPr>
        <w:t>日</w:t>
      </w:r>
    </w:p>
    <w:p w:rsidR="00552BA9" w:rsidRPr="00252EE1" w:rsidRDefault="00552BA9" w:rsidP="00552BA9">
      <w:pPr>
        <w:rPr>
          <w:rFonts w:eastAsia="標楷體"/>
        </w:rPr>
      </w:pPr>
    </w:p>
    <w:p w:rsidR="00552BA9" w:rsidRPr="00252EE1" w:rsidRDefault="00552BA9" w:rsidP="00552BA9">
      <w:pPr>
        <w:rPr>
          <w:rFonts w:eastAsia="標楷體"/>
        </w:rPr>
      </w:pPr>
      <w:r w:rsidRPr="00252EE1">
        <w:rPr>
          <w:rFonts w:eastAsia="標楷體" w:hint="eastAsia"/>
          <w:b/>
        </w:rPr>
        <w:t>備註</w:t>
      </w:r>
      <w:r w:rsidRPr="00252EE1">
        <w:rPr>
          <w:rFonts w:eastAsia="標楷體" w:hint="eastAsia"/>
        </w:rPr>
        <w:t>：</w:t>
      </w:r>
    </w:p>
    <w:p w:rsidR="00552BA9" w:rsidRPr="00252EE1" w:rsidRDefault="00552BA9" w:rsidP="00552BA9">
      <w:pPr>
        <w:numPr>
          <w:ilvl w:val="0"/>
          <w:numId w:val="4"/>
        </w:numPr>
        <w:rPr>
          <w:rFonts w:eastAsia="標楷體"/>
        </w:rPr>
      </w:pPr>
      <w:r w:rsidRPr="00252EE1">
        <w:rPr>
          <w:rFonts w:eastAsia="標楷體" w:hint="eastAsia"/>
        </w:rPr>
        <w:t>評分項目共分為四大項，包括：</w:t>
      </w:r>
      <w:r w:rsidRPr="00252EE1">
        <w:rPr>
          <w:rFonts w:eastAsia="標楷體"/>
        </w:rPr>
        <w:t>(1)</w:t>
      </w:r>
      <w:r w:rsidRPr="00252EE1">
        <w:rPr>
          <w:rFonts w:eastAsia="標楷體" w:hint="eastAsia"/>
        </w:rPr>
        <w:t>課程設計、</w:t>
      </w:r>
      <w:r w:rsidRPr="00252EE1">
        <w:rPr>
          <w:rFonts w:eastAsia="標楷體"/>
        </w:rPr>
        <w:t>(2)</w:t>
      </w:r>
      <w:r w:rsidRPr="00252EE1">
        <w:rPr>
          <w:rFonts w:eastAsia="標楷體" w:hint="eastAsia"/>
        </w:rPr>
        <w:t>師資質量、</w:t>
      </w:r>
      <w:r w:rsidRPr="00252EE1">
        <w:rPr>
          <w:rFonts w:eastAsia="標楷體"/>
        </w:rPr>
        <w:t>(3)</w:t>
      </w:r>
      <w:r w:rsidRPr="00252EE1">
        <w:rPr>
          <w:rFonts w:eastAsia="標楷體" w:hint="eastAsia"/>
        </w:rPr>
        <w:t>教學資源及</w:t>
      </w:r>
      <w:r w:rsidRPr="00252EE1">
        <w:rPr>
          <w:rFonts w:eastAsia="標楷體"/>
        </w:rPr>
        <w:t>(4)</w:t>
      </w:r>
      <w:r w:rsidRPr="00252EE1">
        <w:rPr>
          <w:rFonts w:eastAsia="標楷體" w:hint="eastAsia"/>
        </w:rPr>
        <w:t>其他認定標準，每一項之配分比重依序為</w:t>
      </w:r>
      <w:r w:rsidRPr="00252EE1">
        <w:rPr>
          <w:rFonts w:eastAsia="標楷體"/>
        </w:rPr>
        <w:t>40</w:t>
      </w:r>
      <w:r w:rsidRPr="00252EE1">
        <w:rPr>
          <w:rFonts w:eastAsia="標楷體" w:hint="eastAsia"/>
        </w:rPr>
        <w:t>分、</w:t>
      </w:r>
      <w:r w:rsidRPr="00252EE1">
        <w:rPr>
          <w:rFonts w:eastAsia="標楷體"/>
        </w:rPr>
        <w:t>30</w:t>
      </w:r>
      <w:r w:rsidRPr="00252EE1">
        <w:rPr>
          <w:rFonts w:eastAsia="標楷體" w:hint="eastAsia"/>
        </w:rPr>
        <w:t>分、</w:t>
      </w:r>
      <w:r w:rsidRPr="00252EE1">
        <w:rPr>
          <w:rFonts w:eastAsia="標楷體"/>
        </w:rPr>
        <w:t>20</w:t>
      </w:r>
      <w:r w:rsidRPr="00252EE1">
        <w:rPr>
          <w:rFonts w:eastAsia="標楷體" w:hint="eastAsia"/>
        </w:rPr>
        <w:t>分及</w:t>
      </w:r>
      <w:r w:rsidRPr="00252EE1">
        <w:rPr>
          <w:rFonts w:eastAsia="標楷體"/>
        </w:rPr>
        <w:t>10</w:t>
      </w:r>
      <w:r w:rsidRPr="00252EE1">
        <w:rPr>
          <w:rFonts w:eastAsia="標楷體" w:hint="eastAsia"/>
        </w:rPr>
        <w:t>分，總分為</w:t>
      </w:r>
      <w:r w:rsidRPr="00252EE1">
        <w:rPr>
          <w:rFonts w:eastAsia="標楷體"/>
        </w:rPr>
        <w:t>100</w:t>
      </w:r>
      <w:r w:rsidRPr="00252EE1">
        <w:rPr>
          <w:rFonts w:eastAsia="標楷體" w:hint="eastAsia"/>
        </w:rPr>
        <w:t>分，及格分數為</w:t>
      </w:r>
      <w:r w:rsidRPr="00252EE1">
        <w:rPr>
          <w:rFonts w:eastAsia="標楷體"/>
        </w:rPr>
        <w:t>70</w:t>
      </w:r>
      <w:r w:rsidRPr="00252EE1">
        <w:rPr>
          <w:rFonts w:eastAsia="標楷體" w:hint="eastAsia"/>
        </w:rPr>
        <w:t>分。。</w:t>
      </w:r>
      <w:r w:rsidRPr="00252EE1">
        <w:rPr>
          <w:rFonts w:eastAsia="標楷體"/>
        </w:rPr>
        <w:t xml:space="preserve"> </w:t>
      </w:r>
    </w:p>
    <w:p w:rsidR="00552BA9" w:rsidRPr="00252EE1" w:rsidRDefault="00552BA9" w:rsidP="00552BA9">
      <w:pPr>
        <w:numPr>
          <w:ilvl w:val="0"/>
          <w:numId w:val="4"/>
        </w:numPr>
        <w:rPr>
          <w:rFonts w:eastAsia="標楷體"/>
        </w:rPr>
      </w:pPr>
      <w:r w:rsidRPr="00252EE1">
        <w:rPr>
          <w:rFonts w:eastAsia="標楷體" w:hint="eastAsia"/>
        </w:rPr>
        <w:t>每一課程邀請三位學者專家</w:t>
      </w:r>
      <w:proofErr w:type="gramStart"/>
      <w:r w:rsidRPr="00252EE1">
        <w:rPr>
          <w:rFonts w:eastAsia="標楷體" w:hint="eastAsia"/>
        </w:rPr>
        <w:t>採</w:t>
      </w:r>
      <w:proofErr w:type="gramEnd"/>
      <w:r w:rsidRPr="00252EE1">
        <w:rPr>
          <w:rFonts w:eastAsia="標楷體" w:hint="eastAsia"/>
          <w:b/>
        </w:rPr>
        <w:t>匿名審查</w:t>
      </w:r>
      <w:r w:rsidRPr="00252EE1">
        <w:rPr>
          <w:rFonts w:eastAsia="標楷體" w:hint="eastAsia"/>
        </w:rPr>
        <w:t>，認證機構將整理學者專家「綜合評述」的意見，提供終身學習機構參考。</w:t>
      </w:r>
    </w:p>
    <w:p w:rsidR="005C49C1" w:rsidRPr="00552BA9" w:rsidRDefault="00552BA9" w:rsidP="00552BA9">
      <w:pPr>
        <w:numPr>
          <w:ilvl w:val="0"/>
          <w:numId w:val="4"/>
        </w:numPr>
        <w:jc w:val="both"/>
        <w:rPr>
          <w:rFonts w:eastAsia="標楷體"/>
        </w:rPr>
      </w:pPr>
      <w:r w:rsidRPr="00252EE1">
        <w:rPr>
          <w:rFonts w:eastAsia="標楷體" w:hint="eastAsia"/>
          <w:b/>
        </w:rPr>
        <w:t>審查意見表電子檔請</w:t>
      </w:r>
      <w:r w:rsidRPr="00252EE1">
        <w:rPr>
          <w:rFonts w:eastAsia="標楷體"/>
          <w:b/>
        </w:rPr>
        <w:t>mail</w:t>
      </w:r>
      <w:r w:rsidRPr="00252EE1">
        <w:rPr>
          <w:rFonts w:eastAsia="標楷體" w:hint="eastAsia"/>
        </w:rPr>
        <w:t>：</w:t>
      </w:r>
      <w:hyperlink r:id="rId5" w:history="1">
        <w:r w:rsidRPr="00252EE1">
          <w:rPr>
            <w:rStyle w:val="a3"/>
            <w:rFonts w:eastAsia="標楷體"/>
          </w:rPr>
          <w:t>rcae@deps.ntnu.edu.tw</w:t>
        </w:r>
      </w:hyperlink>
      <w:r w:rsidRPr="00252EE1">
        <w:rPr>
          <w:rFonts w:eastAsia="標楷體" w:hint="eastAsia"/>
        </w:rPr>
        <w:t>。</w:t>
      </w:r>
      <w:r w:rsidRPr="00252EE1">
        <w:rPr>
          <w:rFonts w:eastAsia="標楷體" w:hint="eastAsia"/>
          <w:b/>
        </w:rPr>
        <w:t>收據請寄回本中心</w:t>
      </w:r>
      <w:r w:rsidRPr="00252EE1">
        <w:rPr>
          <w:rFonts w:eastAsia="標楷體" w:hint="eastAsia"/>
        </w:rPr>
        <w:t>：</w:t>
      </w:r>
      <w:r w:rsidRPr="00252EE1">
        <w:rPr>
          <w:rFonts w:eastAsia="標楷體"/>
        </w:rPr>
        <w:t>10610</w:t>
      </w:r>
      <w:r w:rsidRPr="00252EE1">
        <w:rPr>
          <w:rFonts w:eastAsia="標楷體" w:hint="eastAsia"/>
        </w:rPr>
        <w:t>台北市大安區青田街</w:t>
      </w:r>
      <w:r w:rsidRPr="00252EE1">
        <w:rPr>
          <w:rFonts w:eastAsia="標楷體" w:hint="eastAsia"/>
        </w:rPr>
        <w:t>5</w:t>
      </w:r>
      <w:r w:rsidRPr="00252EE1">
        <w:rPr>
          <w:rFonts w:eastAsia="標楷體" w:hint="eastAsia"/>
        </w:rPr>
        <w:t>巷</w:t>
      </w:r>
      <w:r w:rsidRPr="00252EE1">
        <w:rPr>
          <w:rFonts w:eastAsia="標楷體" w:hint="eastAsia"/>
        </w:rPr>
        <w:t>1</w:t>
      </w:r>
      <w:r w:rsidRPr="00252EE1">
        <w:rPr>
          <w:rFonts w:eastAsia="標楷體" w:hint="eastAsia"/>
        </w:rPr>
        <w:t>號</w:t>
      </w:r>
      <w:r w:rsidRPr="00252EE1">
        <w:rPr>
          <w:rFonts w:eastAsia="標楷體" w:hint="eastAsia"/>
        </w:rPr>
        <w:t>2</w:t>
      </w:r>
      <w:r w:rsidRPr="00252EE1">
        <w:rPr>
          <w:rFonts w:eastAsia="標楷體" w:hint="eastAsia"/>
        </w:rPr>
        <w:t>樓，</w:t>
      </w:r>
      <w:r>
        <w:rPr>
          <w:rFonts w:eastAsia="標楷體" w:hint="eastAsia"/>
        </w:rPr>
        <w:t>國立</w:t>
      </w:r>
      <w:r w:rsidRPr="00252EE1">
        <w:rPr>
          <w:rFonts w:eastAsia="標楷體" w:hint="eastAsia"/>
        </w:rPr>
        <w:t>臺灣師範大學成人教育研究中心。若有任何問題請洽成人教育研究中心電話：</w:t>
      </w:r>
      <w:r w:rsidRPr="00252EE1">
        <w:rPr>
          <w:rFonts w:eastAsia="標楷體"/>
        </w:rPr>
        <w:t>02-232196</w:t>
      </w:r>
      <w:r w:rsidRPr="00252EE1">
        <w:rPr>
          <w:rFonts w:eastAsia="標楷體" w:hint="eastAsia"/>
        </w:rPr>
        <w:t>18</w:t>
      </w:r>
      <w:r w:rsidRPr="00252EE1">
        <w:rPr>
          <w:rFonts w:eastAsia="標楷體" w:hint="eastAsia"/>
        </w:rPr>
        <w:t>；傳真：</w:t>
      </w:r>
      <w:r w:rsidRPr="00252EE1">
        <w:rPr>
          <w:rFonts w:eastAsia="標楷體"/>
        </w:rPr>
        <w:t>02-23660882</w:t>
      </w:r>
      <w:r w:rsidRPr="00252EE1">
        <w:rPr>
          <w:rFonts w:eastAsia="標楷體" w:hint="eastAsia"/>
        </w:rPr>
        <w:t>。</w:t>
      </w:r>
    </w:p>
    <w:sectPr w:rsidR="005C49C1" w:rsidRPr="00552BA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00801"/>
    <w:multiLevelType w:val="hybridMultilevel"/>
    <w:tmpl w:val="8DA2FDAA"/>
    <w:lvl w:ilvl="0" w:tplc="0409000B">
      <w:start w:val="1"/>
      <w:numFmt w:val="bullet"/>
      <w:lvlText w:val=""/>
      <w:lvlJc w:val="left"/>
      <w:pPr>
        <w:tabs>
          <w:tab w:val="num" w:pos="527"/>
        </w:tabs>
        <w:ind w:left="527" w:hanging="48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007"/>
        </w:tabs>
        <w:ind w:left="1007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87"/>
        </w:tabs>
        <w:ind w:left="1487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67"/>
        </w:tabs>
        <w:ind w:left="1967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47"/>
        </w:tabs>
        <w:ind w:left="2447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927"/>
        </w:tabs>
        <w:ind w:left="2927" w:hanging="480"/>
      </w:pPr>
    </w:lvl>
    <w:lvl w:ilvl="6" w:tplc="0409000F">
      <w:start w:val="1"/>
      <w:numFmt w:val="decimal"/>
      <w:lvlText w:val="%7."/>
      <w:lvlJc w:val="left"/>
      <w:pPr>
        <w:tabs>
          <w:tab w:val="num" w:pos="3407"/>
        </w:tabs>
        <w:ind w:left="3407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87"/>
        </w:tabs>
        <w:ind w:left="3887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67"/>
        </w:tabs>
        <w:ind w:left="4367" w:hanging="480"/>
      </w:pPr>
    </w:lvl>
  </w:abstractNum>
  <w:abstractNum w:abstractNumId="1" w15:restartNumberingAfterBreak="0">
    <w:nsid w:val="0C973B87"/>
    <w:multiLevelType w:val="hybridMultilevel"/>
    <w:tmpl w:val="D0F046FC"/>
    <w:lvl w:ilvl="0" w:tplc="04090009">
      <w:start w:val="1"/>
      <w:numFmt w:val="bullet"/>
      <w:lvlText w:val=""/>
      <w:lvlJc w:val="left"/>
      <w:pPr>
        <w:tabs>
          <w:tab w:val="num" w:pos="527"/>
        </w:tabs>
        <w:ind w:left="527" w:hanging="480"/>
      </w:pPr>
      <w:rPr>
        <w:rFonts w:ascii="Wingdings" w:hAnsi="Wingdings" w:hint="default"/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1007"/>
        </w:tabs>
        <w:ind w:left="1007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87"/>
        </w:tabs>
        <w:ind w:left="1487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67"/>
        </w:tabs>
        <w:ind w:left="1967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47"/>
        </w:tabs>
        <w:ind w:left="2447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927"/>
        </w:tabs>
        <w:ind w:left="2927" w:hanging="480"/>
      </w:pPr>
    </w:lvl>
    <w:lvl w:ilvl="6" w:tplc="0409000F">
      <w:start w:val="1"/>
      <w:numFmt w:val="decimal"/>
      <w:lvlText w:val="%7."/>
      <w:lvlJc w:val="left"/>
      <w:pPr>
        <w:tabs>
          <w:tab w:val="num" w:pos="3407"/>
        </w:tabs>
        <w:ind w:left="3407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87"/>
        </w:tabs>
        <w:ind w:left="3887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67"/>
        </w:tabs>
        <w:ind w:left="4367" w:hanging="480"/>
      </w:pPr>
    </w:lvl>
  </w:abstractNum>
  <w:abstractNum w:abstractNumId="2" w15:restartNumberingAfterBreak="0">
    <w:nsid w:val="26BF308A"/>
    <w:multiLevelType w:val="hybridMultilevel"/>
    <w:tmpl w:val="D8640A50"/>
    <w:lvl w:ilvl="0" w:tplc="0409000D">
      <w:start w:val="1"/>
      <w:numFmt w:val="bullet"/>
      <w:lvlText w:val=""/>
      <w:lvlJc w:val="left"/>
      <w:pPr>
        <w:tabs>
          <w:tab w:val="num" w:pos="527"/>
        </w:tabs>
        <w:ind w:left="527" w:hanging="48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D8379F6"/>
    <w:multiLevelType w:val="hybridMultilevel"/>
    <w:tmpl w:val="54406E6C"/>
    <w:lvl w:ilvl="0" w:tplc="0409000B">
      <w:start w:val="1"/>
      <w:numFmt w:val="bullet"/>
      <w:lvlText w:val=""/>
      <w:lvlJc w:val="left"/>
      <w:pPr>
        <w:tabs>
          <w:tab w:val="num" w:pos="527"/>
        </w:tabs>
        <w:ind w:left="527" w:hanging="48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54BC098C"/>
    <w:multiLevelType w:val="hybridMultilevel"/>
    <w:tmpl w:val="E65E1F9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BA9"/>
    <w:rsid w:val="00552BA9"/>
    <w:rsid w:val="005C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D94DA"/>
  <w15:chartTrackingRefBased/>
  <w15:docId w15:val="{0707E777-10BA-4F5E-B7CF-32CDF7753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BA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next w:val="a"/>
    <w:link w:val="20"/>
    <w:uiPriority w:val="1"/>
    <w:unhideWhenUsed/>
    <w:qFormat/>
    <w:rsid w:val="00552BA9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1"/>
    <w:rsid w:val="00552BA9"/>
    <w:rPr>
      <w:rFonts w:ascii="Arial" w:eastAsia="新細明體" w:hAnsi="Arial" w:cs="Times New Roman"/>
      <w:b/>
      <w:bCs/>
      <w:sz w:val="48"/>
      <w:szCs w:val="48"/>
    </w:rPr>
  </w:style>
  <w:style w:type="character" w:styleId="a3">
    <w:name w:val="Hyperlink"/>
    <w:basedOn w:val="a0"/>
    <w:uiPriority w:val="99"/>
    <w:unhideWhenUsed/>
    <w:rsid w:val="00552B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cae@deps.ntnu.edu.t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2022-02-14T08:04:00Z</dcterms:created>
  <dcterms:modified xsi:type="dcterms:W3CDTF">2022-02-14T08:05:00Z</dcterms:modified>
</cp:coreProperties>
</file>